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FE" w:rsidRPr="005F45A9" w:rsidRDefault="00FB7CFE" w:rsidP="005F45A9">
      <w:pPr>
        <w:pStyle w:val="ListParagraph"/>
        <w:keepLines/>
        <w:numPr>
          <w:ilvl w:val="0"/>
          <w:numId w:val="2"/>
        </w:numPr>
        <w:spacing w:before="240" w:after="240" w:line="240" w:lineRule="auto"/>
        <w:jc w:val="both"/>
        <w:outlineLvl w:val="0"/>
        <w:rPr>
          <w:rFonts w:eastAsiaTheme="majorEastAsia" w:cstheme="majorBidi"/>
          <w:b/>
          <w:bCs/>
          <w:sz w:val="24"/>
          <w:szCs w:val="28"/>
        </w:rPr>
      </w:pPr>
      <w:bookmarkStart w:id="0" w:name="_Toc473295602"/>
      <w:bookmarkStart w:id="1" w:name="_Toc473557388"/>
      <w:bookmarkStart w:id="2" w:name="_Toc473557639"/>
      <w:bookmarkStart w:id="3" w:name="_Toc474416633"/>
      <w:r w:rsidRPr="005F45A9">
        <w:rPr>
          <w:rFonts w:eastAsiaTheme="majorEastAsia" w:cstheme="majorBidi"/>
          <w:b/>
          <w:bCs/>
          <w:sz w:val="24"/>
          <w:szCs w:val="28"/>
        </w:rPr>
        <w:t>ACCOUNTING POLIC</w:t>
      </w:r>
      <w:bookmarkEnd w:id="0"/>
      <w:r w:rsidRPr="005F45A9">
        <w:rPr>
          <w:rFonts w:eastAsiaTheme="majorEastAsia" w:cstheme="majorBidi"/>
          <w:b/>
          <w:bCs/>
          <w:sz w:val="24"/>
          <w:szCs w:val="28"/>
        </w:rPr>
        <w:t>Y</w:t>
      </w:r>
      <w:bookmarkEnd w:id="1"/>
      <w:bookmarkEnd w:id="2"/>
      <w:bookmarkEnd w:id="3"/>
    </w:p>
    <w:p w:rsidR="00FB7CFE" w:rsidRPr="00625725" w:rsidRDefault="00FB7CFE" w:rsidP="00FB7CFE">
      <w:pPr>
        <w:tabs>
          <w:tab w:val="left" w:pos="0"/>
          <w:tab w:val="left" w:pos="576"/>
          <w:tab w:val="left" w:pos="1447"/>
          <w:tab w:val="left" w:pos="2160"/>
        </w:tabs>
        <w:suppressAutoHyphens/>
        <w:spacing w:after="0" w:line="240" w:lineRule="auto"/>
        <w:rPr>
          <w:rFonts w:eastAsia="Times New Roman" w:cstheme="minorHAnsi"/>
          <w:spacing w:val="-3"/>
          <w:sz w:val="24"/>
          <w:szCs w:val="24"/>
        </w:rPr>
      </w:pPr>
      <w:r w:rsidRPr="00625725">
        <w:rPr>
          <w:rFonts w:eastAsia="Times New Roman" w:cstheme="minorHAnsi"/>
          <w:spacing w:val="-3"/>
          <w:sz w:val="24"/>
          <w:szCs w:val="24"/>
        </w:rPr>
        <w:t>USSEC accounting procedures are conducted in accordance with the Generally Accepted Accounting Principles. USSEC operates on an accrual basis of accounting, whereby expenditures are classified at the time they are committed.  All expenses are reviewed prior to payment in order to ensure they are in compliance with USSEC’s funding sources policies and procedures.</w:t>
      </w:r>
    </w:p>
    <w:p w:rsidR="00C31EFB" w:rsidRDefault="00C31EFB">
      <w:pPr>
        <w:rPr>
          <w:rFonts w:eastAsia="Times New Roman" w:cstheme="minorHAnsi"/>
          <w:spacing w:val="-3"/>
          <w:sz w:val="24"/>
          <w:szCs w:val="24"/>
        </w:rPr>
      </w:pPr>
    </w:p>
    <w:p w:rsidR="00230CFA" w:rsidRPr="00FB7CFE" w:rsidRDefault="00230CFA">
      <w:pPr>
        <w:rPr>
          <w:rFonts w:eastAsia="Times New Roman" w:cstheme="minorHAnsi"/>
          <w:spacing w:val="-3"/>
          <w:sz w:val="24"/>
          <w:szCs w:val="24"/>
        </w:rPr>
      </w:pPr>
      <w:r>
        <w:t>(approved by USSEC Board of Directors, 2/28/2017)</w:t>
      </w:r>
      <w:bookmarkStart w:id="4" w:name="_GoBack"/>
      <w:bookmarkEnd w:id="4"/>
    </w:p>
    <w:sectPr w:rsidR="00230CFA" w:rsidRPr="00FB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11E10"/>
    <w:multiLevelType w:val="hybridMultilevel"/>
    <w:tmpl w:val="4260A7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FE"/>
    <w:rsid w:val="00230CFA"/>
    <w:rsid w:val="005F45A9"/>
    <w:rsid w:val="00C31EFB"/>
    <w:rsid w:val="00FB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11384-E2AF-4414-95CD-A77AF6E6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3</cp:revision>
  <dcterms:created xsi:type="dcterms:W3CDTF">2017-10-03T00:05:00Z</dcterms:created>
  <dcterms:modified xsi:type="dcterms:W3CDTF">2017-10-05T13:51:00Z</dcterms:modified>
</cp:coreProperties>
</file>