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B7" w:rsidRPr="00625725" w:rsidRDefault="00630EB7" w:rsidP="00630EB7">
      <w:pPr>
        <w:pStyle w:val="Line2"/>
        <w:rPr>
          <w:rFonts w:asciiTheme="minorHAnsi" w:hAnsiTheme="minorHAnsi"/>
          <w:i w:val="0"/>
        </w:rPr>
      </w:pPr>
      <w:bookmarkStart w:id="0" w:name="_Toc473557413"/>
      <w:bookmarkStart w:id="1" w:name="_Toc473557665"/>
      <w:bookmarkStart w:id="2" w:name="_Toc474416660"/>
      <w:r>
        <w:rPr>
          <w:rFonts w:asciiTheme="minorHAnsi" w:hAnsiTheme="minorHAnsi"/>
          <w:i w:val="0"/>
        </w:rPr>
        <w:t>33</w:t>
      </w:r>
      <w:r w:rsidRPr="00625725">
        <w:rPr>
          <w:rFonts w:asciiTheme="minorHAnsi" w:hAnsiTheme="minorHAnsi"/>
          <w:i w:val="0"/>
        </w:rPr>
        <w:t>. BOARD ROLES AND RESPONSIBILITIES</w:t>
      </w:r>
      <w:bookmarkEnd w:id="0"/>
      <w:bookmarkEnd w:id="1"/>
      <w:bookmarkEnd w:id="2"/>
    </w:p>
    <w:p w:rsidR="00630EB7" w:rsidRPr="00625725" w:rsidRDefault="00630EB7" w:rsidP="00630EB7">
      <w:pPr>
        <w:pStyle w:val="Line2"/>
        <w:rPr>
          <w:rFonts w:asciiTheme="minorHAnsi" w:hAnsiTheme="minorHAnsi"/>
        </w:rPr>
      </w:pPr>
      <w:bookmarkStart w:id="3" w:name="_Toc473557414"/>
      <w:bookmarkStart w:id="4" w:name="_Toc473557666"/>
      <w:bookmarkStart w:id="5" w:name="_Toc474416661"/>
    </w:p>
    <w:p w:rsidR="00630EB7" w:rsidRPr="00625725" w:rsidRDefault="00630EB7" w:rsidP="00630EB7">
      <w:pPr>
        <w:pStyle w:val="Line2"/>
        <w:rPr>
          <w:rFonts w:asciiTheme="minorHAnsi" w:hAnsiTheme="minorHAnsi"/>
        </w:rPr>
      </w:pPr>
      <w:r w:rsidRPr="00625725">
        <w:rPr>
          <w:rFonts w:asciiTheme="minorHAnsi" w:hAnsiTheme="minorHAnsi"/>
        </w:rPr>
        <w:t>Board of Directors / General Charge (Role)</w:t>
      </w:r>
      <w:bookmarkEnd w:id="3"/>
      <w:bookmarkEnd w:id="4"/>
      <w:bookmarkEnd w:id="5"/>
    </w:p>
    <w:p w:rsidR="00630EB7" w:rsidRPr="00625725" w:rsidRDefault="00630EB7" w:rsidP="00630EB7">
      <w:pPr>
        <w:jc w:val="both"/>
        <w:rPr>
          <w:b/>
          <w:bCs/>
          <w:sz w:val="24"/>
          <w:szCs w:val="24"/>
          <w:u w:val="single"/>
        </w:rPr>
      </w:pPr>
      <w:r w:rsidRPr="00625725">
        <w:rPr>
          <w:b/>
          <w:bCs/>
          <w:sz w:val="24"/>
          <w:szCs w:val="24"/>
          <w:u w:val="single"/>
        </w:rPr>
        <w:t>Approved 2/26/2013, amended 9/16/2013, amended 9/8/2015</w:t>
      </w:r>
    </w:p>
    <w:p w:rsidR="00630EB7" w:rsidRPr="00625725" w:rsidRDefault="00630EB7" w:rsidP="00630EB7">
      <w:pPr>
        <w:jc w:val="both"/>
        <w:rPr>
          <w:sz w:val="24"/>
          <w:szCs w:val="24"/>
          <w:u w:val="single"/>
        </w:rPr>
      </w:pPr>
    </w:p>
    <w:p w:rsidR="00630EB7" w:rsidRPr="00625725" w:rsidRDefault="00630EB7" w:rsidP="00630EB7">
      <w:pPr>
        <w:rPr>
          <w:sz w:val="24"/>
          <w:szCs w:val="24"/>
        </w:rPr>
      </w:pPr>
      <w:r w:rsidRPr="00625725">
        <w:rPr>
          <w:sz w:val="24"/>
          <w:szCs w:val="24"/>
        </w:rPr>
        <w:t xml:space="preserve">Acting as a whole, the duty of the Board is to have general charge and oversight of the affairs, funds, assets and properties of the U.S. Soybean Export Council in accordance with its Certificate of Incorporation, Bylaws, and relevant federal and state laws. The Board of Director’s (the Board) purpose is to implement the appropriate polices and to wisely invest the organization’s resources in programs and policies that will achieve the organization’s mission. </w:t>
      </w:r>
    </w:p>
    <w:p w:rsidR="00630EB7" w:rsidRPr="00625725" w:rsidRDefault="00630EB7" w:rsidP="00630EB7">
      <w:pPr>
        <w:pStyle w:val="BodyText"/>
        <w:jc w:val="both"/>
        <w:rPr>
          <w:rFonts w:asciiTheme="minorHAnsi" w:hAnsiTheme="minorHAnsi"/>
          <w:b/>
          <w:bCs/>
          <w:strike/>
        </w:rPr>
      </w:pPr>
    </w:p>
    <w:p w:rsidR="00630EB7" w:rsidRPr="00625725" w:rsidRDefault="00630EB7" w:rsidP="00630EB7">
      <w:pPr>
        <w:pStyle w:val="Heading2"/>
        <w:jc w:val="both"/>
        <w:rPr>
          <w:rFonts w:asciiTheme="minorHAnsi" w:hAnsiTheme="minorHAnsi" w:cs="Times New Roman"/>
          <w:b/>
          <w:bCs/>
          <w:sz w:val="24"/>
          <w:szCs w:val="24"/>
        </w:rPr>
      </w:pPr>
      <w:bookmarkStart w:id="6" w:name="_Toc472688935"/>
      <w:bookmarkStart w:id="7" w:name="_Toc473300798"/>
      <w:bookmarkStart w:id="8" w:name="_Toc473301317"/>
      <w:bookmarkStart w:id="9" w:name="_Toc473303147"/>
      <w:bookmarkStart w:id="10" w:name="_Toc473557415"/>
      <w:bookmarkStart w:id="11" w:name="_Toc473557667"/>
      <w:bookmarkStart w:id="12" w:name="_Toc474416662"/>
      <w:r w:rsidRPr="00625725">
        <w:rPr>
          <w:rFonts w:asciiTheme="minorHAnsi" w:hAnsiTheme="minorHAnsi" w:cs="Times New Roman"/>
          <w:sz w:val="24"/>
          <w:szCs w:val="24"/>
        </w:rPr>
        <w:t>Responsibilities</w:t>
      </w:r>
      <w:bookmarkEnd w:id="6"/>
      <w:bookmarkEnd w:id="7"/>
      <w:bookmarkEnd w:id="8"/>
      <w:bookmarkEnd w:id="9"/>
      <w:bookmarkEnd w:id="10"/>
      <w:bookmarkEnd w:id="11"/>
      <w:bookmarkEnd w:id="12"/>
    </w:p>
    <w:p w:rsidR="00630EB7" w:rsidRPr="00625725" w:rsidRDefault="00630EB7" w:rsidP="00630EB7">
      <w:pPr>
        <w:numPr>
          <w:ilvl w:val="0"/>
          <w:numId w:val="1"/>
        </w:numPr>
        <w:spacing w:after="0" w:line="240" w:lineRule="auto"/>
        <w:jc w:val="both"/>
        <w:rPr>
          <w:sz w:val="24"/>
          <w:szCs w:val="24"/>
        </w:rPr>
      </w:pPr>
      <w:r w:rsidRPr="00625725">
        <w:rPr>
          <w:sz w:val="24"/>
          <w:szCs w:val="24"/>
        </w:rPr>
        <w:t>Determine the organization’s mission and purpose and maintain a clear strategic focus while ensuring consistency with U.S. soy family organization’s strategic plans.</w:t>
      </w:r>
    </w:p>
    <w:p w:rsidR="00630EB7" w:rsidRPr="00625725" w:rsidRDefault="00630EB7" w:rsidP="00630EB7">
      <w:pPr>
        <w:ind w:left="720"/>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Ensure effective organizational planning. The Board actively participates in an overall planning process and monitoring the plan’s goals and objectives. Each year the Board will formally review the Strategic Direction to ensure relevance with those the Board represents and for consistency with other organizations in the Soy Family.</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Select the Chief Executive Officer.</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 xml:space="preserve">Provide input into the Chief Executive Officer’s annual evaluation. The Board ensures that the Chief Executive Officer has the support he or she needs to further the goals of the organization. </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pacing w:val="-3"/>
          <w:sz w:val="24"/>
          <w:szCs w:val="24"/>
        </w:rPr>
        <w:t xml:space="preserve">Provide proper financial oversight ensuring compliance requirements of various funding sources. Ensure clearly defined financial systems are implemented for funded activities. </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pacing w:val="-3"/>
          <w:sz w:val="24"/>
          <w:szCs w:val="24"/>
        </w:rPr>
        <w:t>Approve the annual budget and ensure that proper financial controls are in place so the necessary resources are in place to achieve Board approved goals and objectives.</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Safeguard the fiduciary interests of the organization by reviewing and approving financial statements that accurately and thoroughly reflect the fiscal status of the organization, including budgets, income and expense statements, fund balances and an annual audit.</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pacing w:val="-3"/>
          <w:sz w:val="24"/>
          <w:szCs w:val="24"/>
        </w:rPr>
        <w:lastRenderedPageBreak/>
        <w:t>Ensure appropriate risk management policies are developed and properly applied.</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Ensure legal and ethical integrity and maintain accountability. The Board is ultimately responsible for adherence to legal standards and ethical norms.</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 xml:space="preserve">Determine, monitor and strengthen the effectiveness and efficiency of all programs conducted on an annual basis. </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Delegate authority to the Executive Committee in a manner consistent with the bylaws.</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Ensure that members are fully informed regarding the activities of the organization and the investment of their funds.</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Enhance the organization’s public standing. The Board should clearly articulate the organization’s mission, accomplishments, and goals to the public to garner support from the community.</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Ensure visionary leadership and a committed Board through Board development, Board composition and Board self-assessment and evaluation.</w:t>
      </w:r>
    </w:p>
    <w:p w:rsidR="00630EB7" w:rsidRPr="00625725" w:rsidRDefault="00630EB7" w:rsidP="00630EB7">
      <w:pPr>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Approve USSEC’s membership goals and fee structure.</w:t>
      </w:r>
    </w:p>
    <w:p w:rsidR="00630EB7" w:rsidRPr="00625725" w:rsidRDefault="00630EB7" w:rsidP="00630EB7">
      <w:pPr>
        <w:spacing w:line="192" w:lineRule="auto"/>
        <w:jc w:val="both"/>
        <w:rPr>
          <w:sz w:val="24"/>
          <w:szCs w:val="24"/>
        </w:rPr>
      </w:pPr>
    </w:p>
    <w:p w:rsidR="00630EB7" w:rsidRPr="00625725" w:rsidRDefault="00630EB7" w:rsidP="00630EB7">
      <w:pPr>
        <w:numPr>
          <w:ilvl w:val="0"/>
          <w:numId w:val="1"/>
        </w:numPr>
        <w:spacing w:after="0" w:line="240" w:lineRule="auto"/>
        <w:jc w:val="both"/>
        <w:rPr>
          <w:sz w:val="24"/>
          <w:szCs w:val="24"/>
        </w:rPr>
      </w:pPr>
      <w:r w:rsidRPr="00625725">
        <w:rPr>
          <w:sz w:val="24"/>
          <w:szCs w:val="24"/>
        </w:rPr>
        <w:t xml:space="preserve">Recruit new members and leaders to strengthen the organization and sustain its viability. </w:t>
      </w:r>
    </w:p>
    <w:p w:rsidR="00630EB7" w:rsidRPr="00625725" w:rsidRDefault="00630EB7" w:rsidP="00630EB7">
      <w:pPr>
        <w:jc w:val="both"/>
        <w:rPr>
          <w:b/>
          <w:bCs/>
          <w:sz w:val="24"/>
          <w:szCs w:val="24"/>
        </w:rPr>
      </w:pPr>
    </w:p>
    <w:p w:rsidR="00C31EFB" w:rsidRDefault="00C31EFB" w:rsidP="00630EB7">
      <w:bookmarkStart w:id="13" w:name="_GoBack"/>
      <w:bookmarkEnd w:id="13"/>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C2CDB"/>
    <w:multiLevelType w:val="hybridMultilevel"/>
    <w:tmpl w:val="111CA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B7"/>
    <w:rsid w:val="00630EB7"/>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F302F-61E9-4D12-A9B7-3FAE5956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B7"/>
  </w:style>
  <w:style w:type="paragraph" w:styleId="Heading2">
    <w:name w:val="heading 2"/>
    <w:basedOn w:val="Normal"/>
    <w:next w:val="Normal"/>
    <w:link w:val="Heading2Char"/>
    <w:uiPriority w:val="9"/>
    <w:unhideWhenUsed/>
    <w:qFormat/>
    <w:rsid w:val="00630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EB7"/>
    <w:rPr>
      <w:rFonts w:asciiTheme="majorHAnsi" w:eastAsiaTheme="majorEastAsia" w:hAnsiTheme="majorHAnsi" w:cstheme="majorBidi"/>
      <w:color w:val="2E74B5" w:themeColor="accent1" w:themeShade="BF"/>
      <w:sz w:val="26"/>
      <w:szCs w:val="26"/>
    </w:rPr>
  </w:style>
  <w:style w:type="character" w:customStyle="1" w:styleId="Line2Char">
    <w:name w:val="Line 2 Char"/>
    <w:basedOn w:val="DefaultParagraphFont"/>
    <w:link w:val="Line2"/>
    <w:locked/>
    <w:rsid w:val="00630EB7"/>
    <w:rPr>
      <w:rFonts w:ascii="Times New Roman" w:eastAsia="Times New Roman" w:hAnsi="Times New Roman" w:cs="Times New Roman"/>
      <w:b/>
      <w:bCs/>
      <w:i/>
      <w:iCs/>
      <w:color w:val="000000"/>
      <w:sz w:val="24"/>
      <w:szCs w:val="28"/>
    </w:rPr>
  </w:style>
  <w:style w:type="paragraph" w:customStyle="1" w:styleId="Line2">
    <w:name w:val="Line 2"/>
    <w:basedOn w:val="Heading2"/>
    <w:link w:val="Line2Char"/>
    <w:qFormat/>
    <w:rsid w:val="00630EB7"/>
    <w:pPr>
      <w:keepLines w:val="0"/>
      <w:spacing w:before="120" w:after="60" w:line="240" w:lineRule="auto"/>
      <w:jc w:val="both"/>
    </w:pPr>
    <w:rPr>
      <w:rFonts w:ascii="Times New Roman" w:eastAsia="Times New Roman" w:hAnsi="Times New Roman" w:cs="Times New Roman"/>
      <w:b/>
      <w:bCs/>
      <w:i/>
      <w:iCs/>
      <w:color w:val="000000"/>
      <w:sz w:val="24"/>
      <w:szCs w:val="28"/>
    </w:rPr>
  </w:style>
  <w:style w:type="paragraph" w:styleId="BodyText">
    <w:name w:val="Body Text"/>
    <w:basedOn w:val="Normal"/>
    <w:link w:val="BodyTextChar"/>
    <w:rsid w:val="00630EB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30E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2017-10-03T01:19:00Z</dcterms:created>
  <dcterms:modified xsi:type="dcterms:W3CDTF">2017-10-03T01:20:00Z</dcterms:modified>
</cp:coreProperties>
</file>